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8" w:type="dxa"/>
        <w:tblLook w:val="0000" w:firstRow="0" w:lastRow="0" w:firstColumn="0" w:lastColumn="0" w:noHBand="0" w:noVBand="0"/>
      </w:tblPr>
      <w:tblGrid>
        <w:gridCol w:w="3080"/>
        <w:gridCol w:w="3081"/>
        <w:gridCol w:w="3081"/>
      </w:tblGrid>
      <w:tr w:rsidR="00CD6193">
        <w:tc>
          <w:tcPr>
            <w:tcW w:w="3080" w:type="dxa"/>
            <w:shd w:val="clear" w:color="auto" w:fill="auto"/>
          </w:tcPr>
          <w:p w:rsidR="00CD6193" w:rsidRDefault="00CD6193">
            <w:pPr>
              <w:snapToGrid w:val="0"/>
              <w:spacing w:after="0"/>
              <w:jc w:val="center"/>
              <w:rPr>
                <w:b/>
                <w:noProof/>
              </w:rPr>
            </w:pPr>
          </w:p>
        </w:tc>
        <w:tc>
          <w:tcPr>
            <w:tcW w:w="3081" w:type="dxa"/>
            <w:shd w:val="clear" w:color="auto" w:fill="auto"/>
          </w:tcPr>
          <w:p w:rsidR="00CD6193" w:rsidRDefault="00BE3445">
            <w:pPr>
              <w:spacing w:after="0"/>
              <w:jc w:val="center"/>
              <w:rPr>
                <w:b/>
              </w:rPr>
            </w:pPr>
            <w:r>
              <w:rPr>
                <w:b/>
              </w:rPr>
              <w:t>HEREFORD ENTERPRISE ZONE</w:t>
            </w:r>
          </w:p>
          <w:p w:rsidR="00CD6193" w:rsidRDefault="00BE3445">
            <w:pPr>
              <w:spacing w:after="0"/>
              <w:jc w:val="center"/>
              <w:rPr>
                <w:b/>
              </w:rPr>
            </w:pPr>
            <w:r>
              <w:rPr>
                <w:b/>
              </w:rPr>
              <w:t>EXECUTIVE BOARD</w:t>
            </w:r>
          </w:p>
          <w:p w:rsidR="00CD6193" w:rsidRDefault="007B366D">
            <w:pPr>
              <w:spacing w:after="0"/>
              <w:jc w:val="center"/>
              <w:rPr>
                <w:b/>
              </w:rPr>
            </w:pPr>
            <w:r>
              <w:rPr>
                <w:b/>
              </w:rPr>
              <w:t>3 DECEMBER</w:t>
            </w:r>
            <w:r w:rsidR="00BE3445">
              <w:rPr>
                <w:b/>
              </w:rPr>
              <w:t xml:space="preserve"> 2018</w:t>
            </w:r>
          </w:p>
        </w:tc>
        <w:tc>
          <w:tcPr>
            <w:tcW w:w="3081" w:type="dxa"/>
            <w:shd w:val="clear" w:color="auto" w:fill="auto"/>
          </w:tcPr>
          <w:p w:rsidR="00CD6193" w:rsidRDefault="00CD6193">
            <w:pPr>
              <w:snapToGrid w:val="0"/>
              <w:spacing w:after="0"/>
              <w:jc w:val="center"/>
              <w:rPr>
                <w:b/>
              </w:rPr>
            </w:pPr>
          </w:p>
        </w:tc>
      </w:tr>
    </w:tbl>
    <w:p w:rsidR="00CD6193" w:rsidRDefault="00CD6193">
      <w:pPr>
        <w:spacing w:after="0"/>
        <w:jc w:val="center"/>
        <w:rPr>
          <w:b/>
        </w:rPr>
      </w:pPr>
    </w:p>
    <w:tbl>
      <w:tblPr>
        <w:tblW w:w="961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21"/>
        <w:gridCol w:w="4995"/>
      </w:tblGrid>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rPr>
                <w:b/>
              </w:rPr>
            </w:pPr>
            <w:r>
              <w:rPr>
                <w:b/>
              </w:rPr>
              <w:t>Present:</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pPr>
              <w:spacing w:after="0"/>
              <w:rPr>
                <w:b/>
              </w:rPr>
            </w:pPr>
            <w:r>
              <w:rPr>
                <w:b/>
              </w:rPr>
              <w:t>In attendance:</w:t>
            </w: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Andrew Manning Cox (AMC)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0DAE">
            <w:pPr>
              <w:spacing w:after="0"/>
            </w:pPr>
            <w:r>
              <w:t>Richard Ball (RB)</w:t>
            </w: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Tracey Goodwin (TG)</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0DAE">
            <w:pPr>
              <w:spacing w:after="0"/>
            </w:pPr>
            <w:r w:rsidRPr="00BE0DAE">
              <w:t>Dorothy Coleman (DC)</w:t>
            </w:r>
          </w:p>
        </w:tc>
      </w:tr>
      <w:tr w:rsidR="003765E4">
        <w:tc>
          <w:tcPr>
            <w:tcW w:w="4621" w:type="dxa"/>
            <w:tcBorders>
              <w:top w:val="single" w:sz="4" w:space="0" w:color="000000"/>
              <w:left w:val="single" w:sz="4" w:space="0" w:color="000000"/>
              <w:bottom w:val="single" w:sz="4" w:space="0" w:color="000000"/>
            </w:tcBorders>
            <w:shd w:val="clear" w:color="auto" w:fill="auto"/>
          </w:tcPr>
          <w:p w:rsidR="003765E4" w:rsidRDefault="003765E4">
            <w:pPr>
              <w:spacing w:after="0"/>
            </w:pPr>
            <w:r>
              <w:t>David Harlow (DH)</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3765E4" w:rsidRDefault="003765E4">
            <w:pPr>
              <w:spacing w:after="0"/>
            </w:pP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Charles Ingleby (CI)</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pP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Alistair Neill (AN)</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pP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Mark Pearce (MP)</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pPr>
          </w:p>
        </w:tc>
      </w:tr>
      <w:tr w:rsidR="003765E4">
        <w:tc>
          <w:tcPr>
            <w:tcW w:w="4621" w:type="dxa"/>
            <w:tcBorders>
              <w:top w:val="single" w:sz="4" w:space="0" w:color="000000"/>
              <w:left w:val="single" w:sz="4" w:space="0" w:color="000000"/>
              <w:bottom w:val="single" w:sz="4" w:space="0" w:color="000000"/>
            </w:tcBorders>
            <w:shd w:val="clear" w:color="auto" w:fill="auto"/>
          </w:tcPr>
          <w:p w:rsidR="003765E4" w:rsidRDefault="003765E4">
            <w:pPr>
              <w:spacing w:after="0"/>
            </w:pPr>
            <w:r>
              <w:t>Sharon Smith (SS)</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3765E4" w:rsidRDefault="003765E4">
            <w:pPr>
              <w:snapToGrid w:val="0"/>
              <w:spacing w:after="0"/>
              <w:jc w:val="center"/>
            </w:pPr>
          </w:p>
        </w:tc>
      </w:tr>
    </w:tbl>
    <w:p w:rsidR="00CD6193" w:rsidRDefault="00CD6193">
      <w:pPr>
        <w:spacing w:after="0"/>
        <w:rPr>
          <w:b/>
        </w:rPr>
      </w:pPr>
    </w:p>
    <w:tbl>
      <w:tblPr>
        <w:tblW w:w="956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330"/>
        <w:gridCol w:w="1238"/>
      </w:tblGrid>
      <w:tr w:rsidR="00CD6193">
        <w:tc>
          <w:tcPr>
            <w:tcW w:w="8330" w:type="dxa"/>
            <w:tcBorders>
              <w:top w:val="single" w:sz="4" w:space="0" w:color="000000"/>
              <w:left w:val="single" w:sz="4" w:space="0" w:color="000000"/>
              <w:bottom w:val="single" w:sz="4" w:space="0" w:color="000000"/>
            </w:tcBorders>
            <w:shd w:val="clear" w:color="auto" w:fill="auto"/>
          </w:tcPr>
          <w:p w:rsidR="00CD6193" w:rsidRDefault="00CD6193">
            <w:pPr>
              <w:snapToGrid w:val="0"/>
              <w:spacing w:after="0"/>
              <w:rPr>
                <w:b/>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pPr>
              <w:spacing w:after="0"/>
              <w:jc w:val="center"/>
              <w:rPr>
                <w:b/>
              </w:rPr>
            </w:pPr>
            <w:r>
              <w:rPr>
                <w:b/>
              </w:rPr>
              <w:t>ACTION</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APOLOGIES FOR ABSENCE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3765E4" w:rsidP="003765E4">
            <w:pPr>
              <w:spacing w:after="0"/>
            </w:pPr>
            <w:r>
              <w:t>Neil Kerr</w:t>
            </w:r>
          </w:p>
          <w:p w:rsidR="003765E4" w:rsidRDefault="003765E4" w:rsidP="003765E4">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DECLARATIONS AND REGISTER OF INTEREST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CA34CE">
            <w:pPr>
              <w:spacing w:after="0"/>
            </w:pPr>
            <w:r>
              <w:t>There were no updates to be noted.</w:t>
            </w:r>
            <w:r w:rsidR="0057632C">
              <w:t xml:space="preserve"> </w:t>
            </w:r>
          </w:p>
          <w:p w:rsidR="00CD6193" w:rsidRDefault="00CD6193">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p w:rsidR="00CD6193" w:rsidRDefault="00CD6193">
            <w:pPr>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765E4">
            <w:pPr>
              <w:numPr>
                <w:ilvl w:val="0"/>
                <w:numId w:val="3"/>
              </w:numPr>
              <w:spacing w:after="0"/>
              <w:ind w:left="284"/>
              <w:rPr>
                <w:b/>
              </w:rPr>
            </w:pPr>
            <w:r>
              <w:rPr>
                <w:b/>
              </w:rPr>
              <w:t xml:space="preserve">MINUTES OF MEETING HELD ON </w:t>
            </w:r>
            <w:r w:rsidR="003765E4">
              <w:rPr>
                <w:b/>
              </w:rPr>
              <w:t>22 OCTOBER</w:t>
            </w:r>
            <w:r>
              <w:rPr>
                <w:b/>
              </w:rPr>
              <w:t xml:space="preserve"> 2018</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ind w:left="284"/>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t xml:space="preserve">The minutes of the meeting held on </w:t>
            </w:r>
            <w:r w:rsidR="003765E4">
              <w:t>22 October</w:t>
            </w:r>
            <w:r>
              <w:t xml:space="preserve"> were approved as a correct record and signed by the Chair.</w:t>
            </w:r>
          </w:p>
          <w:p w:rsidR="00CD6193" w:rsidRDefault="00CD6193">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MATTERS ARISING NOT ELSEWHERE ON THE AGENDA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A22E29" w:rsidRDefault="00BE3445">
            <w:pPr>
              <w:tabs>
                <w:tab w:val="center" w:pos="4057"/>
              </w:tabs>
              <w:spacing w:after="0"/>
              <w:rPr>
                <w:b/>
              </w:rPr>
            </w:pPr>
            <w:r w:rsidRPr="00A22E29">
              <w:rPr>
                <w:b/>
              </w:rPr>
              <w:t>4a</w:t>
            </w:r>
            <w:r w:rsidR="00E20DBB">
              <w:rPr>
                <w:b/>
              </w:rPr>
              <w:t>.</w:t>
            </w:r>
            <w:r w:rsidRPr="00A22E29">
              <w:rPr>
                <w:b/>
              </w:rPr>
              <w:t xml:space="preserve"> </w:t>
            </w:r>
            <w:r w:rsidR="00684273" w:rsidRPr="00A22E29">
              <w:rPr>
                <w:b/>
              </w:rPr>
              <w:t>Hotel</w:t>
            </w:r>
          </w:p>
          <w:p w:rsidR="00CD6193" w:rsidRDefault="00107512">
            <w:pPr>
              <w:tabs>
                <w:tab w:val="center" w:pos="4057"/>
              </w:tabs>
              <w:spacing w:after="0"/>
            </w:pPr>
            <w:r>
              <w:t xml:space="preserve">Referring to the possibility of </w:t>
            </w:r>
            <w:r w:rsidRPr="00107512">
              <w:t>attra</w:t>
            </w:r>
            <w:r>
              <w:t xml:space="preserve">cting a hotel chain to the Zone, CI stated that from his experience, it was important to first identify a site before seeking potential investment.  </w:t>
            </w:r>
            <w:r w:rsidR="00E67666">
              <w:t>Previous</w:t>
            </w:r>
            <w:r w:rsidR="00684273">
              <w:t xml:space="preserve"> discussions had concluded that the most obvious place to locate it would be on the relief road where the new roundabout would open up the site for Bloor Homes</w:t>
            </w:r>
            <w:r w:rsidR="00831FCC">
              <w:t>, and it was agreed that this option be further explored.</w:t>
            </w:r>
          </w:p>
          <w:p w:rsidR="00831FCC" w:rsidRDefault="00831FCC">
            <w:pPr>
              <w:tabs>
                <w:tab w:val="center" w:pos="4057"/>
              </w:tabs>
              <w:spacing w:after="0"/>
            </w:pPr>
          </w:p>
          <w:p w:rsidR="00CD6193" w:rsidRDefault="00831FCC" w:rsidP="00831FCC">
            <w:pPr>
              <w:tabs>
                <w:tab w:val="center" w:pos="4057"/>
              </w:tabs>
              <w:spacing w:after="0"/>
            </w:pPr>
            <w:r>
              <w:t>Keep item on the agenda.</w:t>
            </w:r>
          </w:p>
          <w:p w:rsidR="00831FCC" w:rsidRDefault="00831FCC" w:rsidP="00831FCC">
            <w:pPr>
              <w:tabs>
                <w:tab w:val="center" w:pos="4057"/>
              </w:tabs>
              <w:spacing w:after="0"/>
            </w:pPr>
          </w:p>
          <w:p w:rsidR="00831FCC" w:rsidRPr="00A22E29" w:rsidRDefault="00831FCC" w:rsidP="00831FCC">
            <w:pPr>
              <w:tabs>
                <w:tab w:val="center" w:pos="4057"/>
              </w:tabs>
              <w:spacing w:after="0"/>
              <w:rPr>
                <w:b/>
              </w:rPr>
            </w:pPr>
            <w:r w:rsidRPr="00A22E29">
              <w:rPr>
                <w:b/>
              </w:rPr>
              <w:t>4b</w:t>
            </w:r>
            <w:r w:rsidR="00E20DBB">
              <w:rPr>
                <w:b/>
              </w:rPr>
              <w:t>.</w:t>
            </w:r>
            <w:r w:rsidRPr="00A22E29">
              <w:rPr>
                <w:b/>
              </w:rPr>
              <w:t xml:space="preserve"> Potential second heritage project</w:t>
            </w:r>
          </w:p>
          <w:p w:rsidR="00831FCC" w:rsidRDefault="00831FCC" w:rsidP="00831FCC">
            <w:pPr>
              <w:tabs>
                <w:tab w:val="center" w:pos="4057"/>
              </w:tabs>
              <w:spacing w:after="0"/>
            </w:pPr>
            <w:r>
              <w:t>To be discussed at a future meeting</w:t>
            </w:r>
            <w:r w:rsidR="00E12CF5">
              <w:t>.</w:t>
            </w:r>
          </w:p>
          <w:p w:rsidR="00A5689A" w:rsidRDefault="00A5689A" w:rsidP="00831FCC">
            <w:pPr>
              <w:tabs>
                <w:tab w:val="center" w:pos="4057"/>
              </w:tabs>
              <w:spacing w:after="0"/>
            </w:pPr>
          </w:p>
          <w:p w:rsidR="00A5689A" w:rsidRPr="00A5689A" w:rsidRDefault="00A5689A" w:rsidP="00A5689A">
            <w:pPr>
              <w:tabs>
                <w:tab w:val="center" w:pos="4057"/>
              </w:tabs>
              <w:spacing w:after="0"/>
            </w:pPr>
            <w:r>
              <w:rPr>
                <w:b/>
              </w:rPr>
              <w:t xml:space="preserve">11. </w:t>
            </w:r>
            <w:r w:rsidRPr="00A5689A">
              <w:rPr>
                <w:b/>
              </w:rPr>
              <w:t>Proposal for extension of phase 1 development on Goodwin land</w:t>
            </w:r>
          </w:p>
          <w:p w:rsidR="00CD6193" w:rsidRDefault="00E20DBB" w:rsidP="00E67666">
            <w:pPr>
              <w:tabs>
                <w:tab w:val="center" w:pos="4057"/>
              </w:tabs>
              <w:spacing w:after="0"/>
            </w:pPr>
            <w:r>
              <w:t>Further to discussions at the previous meeting, TG advised that due to potential amendments needed to the plans to accommodate building regulations requirements the Goodwin Trust would not be proceeding with the development at this stage.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pacing w:after="0"/>
              <w:jc w:val="center"/>
              <w:rPr>
                <w:b/>
              </w:rPr>
            </w:pPr>
          </w:p>
          <w:p w:rsidR="00831FCC" w:rsidRDefault="00831FCC">
            <w:pPr>
              <w:spacing w:after="0"/>
              <w:jc w:val="center"/>
              <w:rPr>
                <w:b/>
              </w:rPr>
            </w:pPr>
          </w:p>
          <w:p w:rsidR="00831FCC" w:rsidRDefault="00831FCC">
            <w:pPr>
              <w:spacing w:after="0"/>
              <w:jc w:val="center"/>
              <w:rPr>
                <w:b/>
              </w:rPr>
            </w:pPr>
          </w:p>
          <w:p w:rsidR="00831FCC" w:rsidRDefault="00831FCC">
            <w:pPr>
              <w:spacing w:after="0"/>
              <w:jc w:val="center"/>
              <w:rPr>
                <w:b/>
              </w:rPr>
            </w:pPr>
          </w:p>
          <w:p w:rsidR="00831FCC" w:rsidRDefault="00831FCC">
            <w:pPr>
              <w:spacing w:after="0"/>
              <w:jc w:val="center"/>
              <w:rPr>
                <w:b/>
              </w:rPr>
            </w:pPr>
            <w:r>
              <w:rPr>
                <w:b/>
              </w:rPr>
              <w:t>CI, NK, TG, MP</w:t>
            </w:r>
          </w:p>
          <w:p w:rsidR="00831FCC" w:rsidRDefault="00831FCC">
            <w:pPr>
              <w:spacing w:after="0"/>
              <w:jc w:val="center"/>
              <w:rPr>
                <w:b/>
              </w:rPr>
            </w:pPr>
          </w:p>
          <w:p w:rsidR="00831FCC" w:rsidRDefault="00831FCC">
            <w:pPr>
              <w:spacing w:after="0"/>
              <w:jc w:val="center"/>
              <w:rPr>
                <w:b/>
              </w:rPr>
            </w:pPr>
          </w:p>
          <w:p w:rsidR="00831FCC" w:rsidRDefault="00831FCC">
            <w:pPr>
              <w:spacing w:after="0"/>
              <w:jc w:val="center"/>
              <w:rPr>
                <w:b/>
              </w:rPr>
            </w:pPr>
          </w:p>
          <w:p w:rsidR="00831FCC" w:rsidRDefault="00831FCC">
            <w:pPr>
              <w:spacing w:after="0"/>
              <w:jc w:val="center"/>
              <w:rPr>
                <w:b/>
              </w:rPr>
            </w:pPr>
            <w:r>
              <w:rPr>
                <w:b/>
              </w:rPr>
              <w:t>NK</w:t>
            </w:r>
          </w:p>
          <w:p w:rsidR="00831FCC" w:rsidRDefault="00831FCC">
            <w:pPr>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lastRenderedPageBreak/>
              <w:t>CHAIR’S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DA134A" w:rsidRDefault="00BE3445" w:rsidP="005C6906">
            <w:pPr>
              <w:spacing w:after="0"/>
            </w:pPr>
            <w:r>
              <w:t>The Chair presented his report and the Board noted the recent</w:t>
            </w:r>
            <w:r w:rsidR="005C6906">
              <w:t xml:space="preserve"> meetings and</w:t>
            </w:r>
            <w:r>
              <w:t xml:space="preserve"> events</w:t>
            </w:r>
            <w:r w:rsidR="005C6906">
              <w:t xml:space="preserve"> attended</w:t>
            </w:r>
            <w:r>
              <w:t xml:space="preserve">.  </w:t>
            </w:r>
          </w:p>
          <w:p w:rsidR="00902B19" w:rsidRDefault="00902B19" w:rsidP="005C6906">
            <w:pPr>
              <w:spacing w:after="0"/>
            </w:pPr>
          </w:p>
          <w:p w:rsidR="00CD6193" w:rsidRDefault="005C6906" w:rsidP="005C6906">
            <w:pPr>
              <w:spacing w:after="0"/>
            </w:pPr>
            <w:r>
              <w:t xml:space="preserve">These included the Marches LEP Board meeting on 27 November at which the there was a lengthy discussion on NMITE and the funding awarded through the Growth Deal.  </w:t>
            </w:r>
            <w:r w:rsidR="00DA134A">
              <w:t>The LEP Board was</w:t>
            </w:r>
            <w:r>
              <w:t xml:space="preserve"> keen to see some spend before the end of March 2019.  </w:t>
            </w:r>
            <w:r w:rsidR="00D74C13">
              <w:t>This would continue to be considered</w:t>
            </w:r>
            <w:r w:rsidR="00DA134A">
              <w:t xml:space="preserve"> a top priority</w:t>
            </w:r>
            <w:r w:rsidR="00D74C13">
              <w:t xml:space="preserve"> by the Council</w:t>
            </w:r>
            <w:r w:rsidR="00DA134A">
              <w:t>.</w:t>
            </w:r>
          </w:p>
          <w:p w:rsidR="00DA134A" w:rsidRDefault="00DA134A" w:rsidP="005C6906">
            <w:pPr>
              <w:spacing w:after="0"/>
            </w:pPr>
          </w:p>
          <w:p w:rsidR="00DA134A" w:rsidRDefault="00DA134A" w:rsidP="005C6906">
            <w:pPr>
              <w:spacing w:after="0"/>
            </w:pPr>
            <w:r>
              <w:t xml:space="preserve">The Chair also highlighted the visit of Nat Hone, </w:t>
            </w:r>
            <w:r w:rsidRPr="00DA134A">
              <w:t xml:space="preserve">High Sheriff of Herefordshire </w:t>
            </w:r>
            <w:r>
              <w:t xml:space="preserve">on 28 November.  He had been very interested in the Zone’s development and success to date, and had agreed to become an ambassador.  He would be briefed on </w:t>
            </w:r>
            <w:r w:rsidR="00B562AD">
              <w:t xml:space="preserve">Zone </w:t>
            </w:r>
            <w:r>
              <w:t>progress.</w:t>
            </w:r>
          </w:p>
          <w:p w:rsidR="00DA134A" w:rsidRDefault="00DA134A" w:rsidP="005C6906">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p w:rsidR="00CD6193" w:rsidRDefault="00CD6193">
            <w:pPr>
              <w:spacing w:after="0"/>
              <w:jc w:val="center"/>
              <w:rPr>
                <w:b/>
              </w:rPr>
            </w:pPr>
          </w:p>
          <w:p w:rsidR="00CD6193" w:rsidRDefault="00CD6193">
            <w:pPr>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ITEMS FOR DISCUSSION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rsidTr="00A22E29">
        <w:trPr>
          <w:trHeight w:val="1739"/>
        </w:trPr>
        <w:tc>
          <w:tcPr>
            <w:tcW w:w="8330" w:type="dxa"/>
            <w:tcBorders>
              <w:top w:val="single" w:sz="4" w:space="0" w:color="000000"/>
              <w:left w:val="single" w:sz="4" w:space="0" w:color="000000"/>
              <w:bottom w:val="single" w:sz="4" w:space="0" w:color="000000"/>
            </w:tcBorders>
            <w:shd w:val="clear" w:color="auto" w:fill="auto"/>
          </w:tcPr>
          <w:p w:rsidR="00CD6193" w:rsidRDefault="00FA7DD4">
            <w:pPr>
              <w:numPr>
                <w:ilvl w:val="0"/>
                <w:numId w:val="1"/>
              </w:numPr>
              <w:spacing w:after="0"/>
              <w:ind w:left="284"/>
              <w:rPr>
                <w:b/>
              </w:rPr>
            </w:pPr>
            <w:r>
              <w:rPr>
                <w:b/>
              </w:rPr>
              <w:t>Board recruitment</w:t>
            </w:r>
          </w:p>
          <w:p w:rsidR="00A22E29" w:rsidRDefault="00A22E29" w:rsidP="00A22E29">
            <w:pPr>
              <w:spacing w:after="0"/>
            </w:pPr>
            <w:r>
              <w:t xml:space="preserve">A draft advertisement and role specification for additional Board Members had been circulated with the agenda.  </w:t>
            </w:r>
            <w:r w:rsidRPr="00A22E29">
              <w:t xml:space="preserve">MP asked that comments on the draft be sent to him within the next </w:t>
            </w:r>
            <w:r w:rsidR="00D74C13">
              <w:t>week</w:t>
            </w:r>
            <w:r w:rsidRPr="00A22E29">
              <w:t xml:space="preserve">.  </w:t>
            </w:r>
            <w:r>
              <w:t xml:space="preserve">The advert would be placed in the local paper, </w:t>
            </w:r>
            <w:r w:rsidR="00434761">
              <w:t xml:space="preserve">EZ </w:t>
            </w:r>
            <w:r>
              <w:t>website</w:t>
            </w:r>
            <w:r w:rsidR="00434761">
              <w:t xml:space="preserve"> and</w:t>
            </w:r>
            <w:r>
              <w:t xml:space="preserve"> newsletter and through local networks in the New Year.</w:t>
            </w:r>
          </w:p>
          <w:p w:rsidR="00A22E29" w:rsidRDefault="00A22E29" w:rsidP="00A22E29">
            <w:pPr>
              <w:spacing w:after="0"/>
            </w:pPr>
          </w:p>
          <w:p w:rsidR="00A22E29" w:rsidRPr="00A22E29" w:rsidRDefault="00A22E29" w:rsidP="00A22E29">
            <w:pPr>
              <w:numPr>
                <w:ilvl w:val="0"/>
                <w:numId w:val="1"/>
              </w:numPr>
              <w:spacing w:after="0"/>
              <w:ind w:left="284"/>
              <w:rPr>
                <w:b/>
              </w:rPr>
            </w:pPr>
            <w:r w:rsidRPr="00A22E29">
              <w:rPr>
                <w:b/>
              </w:rPr>
              <w:t>Signage Report</w:t>
            </w:r>
          </w:p>
          <w:p w:rsidR="00A22E29" w:rsidRDefault="00913F20" w:rsidP="00D74C13">
            <w:pPr>
              <w:spacing w:after="0"/>
              <w:ind w:left="-76"/>
            </w:pPr>
            <w:r>
              <w:t xml:space="preserve">MP </w:t>
            </w:r>
            <w:r w:rsidR="00D74C13">
              <w:t xml:space="preserve">updated the Board on progress with implementation of the signage strategy.  He </w:t>
            </w:r>
            <w:r>
              <w:t xml:space="preserve">reported </w:t>
            </w:r>
            <w:r w:rsidR="00BA6E57">
              <w:t>that discussions were taking place with Highways England to incorporate Skylon Park on the green directional signs on the A49 as part of the Southern Link Road project.</w:t>
            </w:r>
          </w:p>
          <w:p w:rsidR="00BA6E57" w:rsidRDefault="00BA6E57" w:rsidP="00BA6E57">
            <w:pPr>
              <w:spacing w:after="0"/>
              <w:ind w:left="-76"/>
            </w:pPr>
          </w:p>
          <w:p w:rsidR="00BA6E57" w:rsidRDefault="00BA6E57" w:rsidP="00BA6E57">
            <w:pPr>
              <w:spacing w:after="0"/>
              <w:ind w:left="-76"/>
            </w:pPr>
            <w:r>
              <w:t>3 Gateway signs had been installed on the 3 entrances to the Estate in the new style agreed in the design manual.</w:t>
            </w:r>
          </w:p>
          <w:p w:rsidR="00BA6E57" w:rsidRDefault="00BA6E57" w:rsidP="00BA6E57">
            <w:pPr>
              <w:spacing w:after="0"/>
              <w:ind w:left="-76"/>
            </w:pPr>
          </w:p>
          <w:p w:rsidR="00BA6E57" w:rsidRDefault="00BA6E57" w:rsidP="00BA6E57">
            <w:pPr>
              <w:spacing w:after="0"/>
              <w:ind w:left="-76"/>
            </w:pPr>
            <w:r>
              <w:t>There was an opportunity to install a fourth sign alongside the railway track to be viewed by railway passengers coming into and out of the city.  A potential location had been identified and was being progressed</w:t>
            </w:r>
            <w:r w:rsidR="00E67666">
              <w:t xml:space="preserve"> with the tenant Balfour Beatty.</w:t>
            </w:r>
          </w:p>
          <w:p w:rsidR="00BA6E57" w:rsidRDefault="00BA6E57" w:rsidP="00BA6E57">
            <w:pPr>
              <w:spacing w:after="0"/>
              <w:ind w:left="-76"/>
            </w:pPr>
          </w:p>
          <w:p w:rsidR="001321BC" w:rsidRDefault="00BA6E57" w:rsidP="001321BC">
            <w:pPr>
              <w:spacing w:after="0"/>
              <w:ind w:left="-76"/>
            </w:pPr>
            <w:r>
              <w:t>In</w:t>
            </w:r>
            <w:r w:rsidR="00E67666">
              <w:t>tra</w:t>
            </w:r>
            <w:r>
              <w:t xml:space="preserve"> estate signage was also being refreshed as part of an ongoing roll out of new Skylon Park branded sign</w:t>
            </w:r>
            <w:r w:rsidR="00E67666">
              <w:t>age</w:t>
            </w:r>
            <w:r>
              <w:t xml:space="preserve"> </w:t>
            </w:r>
            <w:r w:rsidR="00E67666">
              <w:t>T</w:t>
            </w:r>
            <w:r w:rsidR="001321BC">
              <w:t xml:space="preserve">he installation of the Straight Mile cycleway project had provided an opportunity to ‘purge’ the south side of the Straight Mile and other areas of extraneous signs/clutter.  </w:t>
            </w:r>
          </w:p>
          <w:p w:rsidR="001321BC" w:rsidRDefault="001321BC" w:rsidP="001321BC">
            <w:pPr>
              <w:spacing w:after="0"/>
              <w:ind w:left="-76"/>
            </w:pPr>
          </w:p>
          <w:p w:rsidR="004F2EC4" w:rsidRDefault="004F2EC4" w:rsidP="001321BC">
            <w:pPr>
              <w:spacing w:after="0"/>
              <w:ind w:left="-76"/>
            </w:pPr>
            <w:r>
              <w:t xml:space="preserve">The process for naming buildings on Skylon Park was raised, and MP confirmed that a clause </w:t>
            </w:r>
            <w:r w:rsidR="00E67666">
              <w:t xml:space="preserve">could be placed </w:t>
            </w:r>
            <w:r>
              <w:t xml:space="preserve">in the sales contracts </w:t>
            </w:r>
            <w:r w:rsidR="00E67666">
              <w:t>requiring</w:t>
            </w:r>
            <w:r>
              <w:t xml:space="preserve"> the purchaser to seek approval from </w:t>
            </w:r>
            <w:r w:rsidR="00D74C13">
              <w:t>the EZ</w:t>
            </w:r>
            <w:r>
              <w:t xml:space="preserve"> prior to naming their building/site.</w:t>
            </w:r>
          </w:p>
          <w:p w:rsidR="004F2EC4" w:rsidRDefault="004F2EC4" w:rsidP="001321BC">
            <w:pPr>
              <w:spacing w:after="0"/>
              <w:ind w:left="-76"/>
            </w:pPr>
          </w:p>
          <w:p w:rsidR="001321BC" w:rsidRDefault="004F2EC4" w:rsidP="001321BC">
            <w:pPr>
              <w:spacing w:after="0"/>
              <w:ind w:left="-76"/>
            </w:pPr>
            <w:r>
              <w:t>Progress was noted.</w:t>
            </w:r>
          </w:p>
          <w:p w:rsidR="001321BC" w:rsidRDefault="001321BC" w:rsidP="001321BC">
            <w:pPr>
              <w:spacing w:after="0"/>
              <w:ind w:left="-76"/>
            </w:pPr>
          </w:p>
          <w:p w:rsidR="00E67666" w:rsidRDefault="00E67666" w:rsidP="001321BC">
            <w:pPr>
              <w:spacing w:after="0"/>
              <w:ind w:left="-76"/>
            </w:pPr>
          </w:p>
          <w:p w:rsidR="00E12CF5" w:rsidRPr="00E12CF5" w:rsidRDefault="00400FFC" w:rsidP="00E12CF5">
            <w:pPr>
              <w:numPr>
                <w:ilvl w:val="0"/>
                <w:numId w:val="1"/>
              </w:numPr>
              <w:spacing w:after="0"/>
              <w:ind w:left="284"/>
              <w:rPr>
                <w:b/>
              </w:rPr>
            </w:pPr>
            <w:r>
              <w:rPr>
                <w:b/>
              </w:rPr>
              <w:lastRenderedPageBreak/>
              <w:t>Plot sale</w:t>
            </w:r>
          </w:p>
          <w:p w:rsidR="00E12CF5" w:rsidRDefault="00E12CF5" w:rsidP="00E12CF5">
            <w:pPr>
              <w:spacing w:after="0"/>
              <w:ind w:left="-76"/>
            </w:pPr>
            <w:r>
              <w:t xml:space="preserve">MP reported on </w:t>
            </w:r>
            <w:r w:rsidR="00400FFC">
              <w:t>the lack of engagement with an investor following agreement on a sale</w:t>
            </w:r>
            <w:r>
              <w:t>.  The Board agreed to support the recommendation.</w:t>
            </w:r>
          </w:p>
          <w:p w:rsidR="00400FFC" w:rsidRDefault="00400FFC" w:rsidP="00E12CF5">
            <w:pPr>
              <w:spacing w:after="0"/>
              <w:ind w:left="-76"/>
            </w:pPr>
          </w:p>
          <w:p w:rsidR="00400FFC" w:rsidRPr="00400FFC" w:rsidRDefault="00400FFC" w:rsidP="004F2EC4">
            <w:pPr>
              <w:numPr>
                <w:ilvl w:val="0"/>
                <w:numId w:val="1"/>
              </w:numPr>
              <w:spacing w:after="0"/>
              <w:ind w:left="284"/>
              <w:rPr>
                <w:b/>
              </w:rPr>
            </w:pPr>
            <w:r w:rsidRPr="00400FFC">
              <w:rPr>
                <w:b/>
              </w:rPr>
              <w:t>NMITE</w:t>
            </w:r>
          </w:p>
          <w:p w:rsidR="00400FFC" w:rsidRDefault="00D04FA9" w:rsidP="006715B0">
            <w:pPr>
              <w:spacing w:after="0"/>
              <w:ind w:left="-76"/>
            </w:pPr>
            <w:r>
              <w:t xml:space="preserve">AN updated the Board on </w:t>
            </w:r>
            <w:r w:rsidR="00E67666">
              <w:t xml:space="preserve">progress </w:t>
            </w:r>
            <w:r>
              <w:t xml:space="preserve">NMITE </w:t>
            </w:r>
            <w:r w:rsidR="00E67666">
              <w:t>had made</w:t>
            </w:r>
            <w:r w:rsidR="00D74C13">
              <w:t xml:space="preserve"> </w:t>
            </w:r>
            <w:r>
              <w:t xml:space="preserve">in respect of the curriculum, and residential and teaching </w:t>
            </w:r>
            <w:r w:rsidR="006715B0">
              <w:t xml:space="preserve">accommodation.  </w:t>
            </w:r>
            <w:r>
              <w:t>P</w:t>
            </w:r>
            <w:r w:rsidR="006715B0">
              <w:t xml:space="preserve">rogress was noted and next steps </w:t>
            </w:r>
            <w:r w:rsidR="00D74C13">
              <w:t xml:space="preserve">were </w:t>
            </w:r>
            <w:r w:rsidR="006715B0">
              <w:t>considered.</w:t>
            </w:r>
          </w:p>
          <w:p w:rsidR="006715B0" w:rsidRDefault="006715B0" w:rsidP="006715B0">
            <w:pPr>
              <w:spacing w:after="0"/>
              <w:ind w:left="-76"/>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p w:rsidR="00CD6193" w:rsidRDefault="00CD6193">
            <w:pPr>
              <w:spacing w:after="0"/>
              <w:jc w:val="center"/>
              <w:rPr>
                <w:b/>
              </w:rPr>
            </w:pPr>
          </w:p>
          <w:p w:rsidR="00CD6193" w:rsidRDefault="00A22E29" w:rsidP="00A22E29">
            <w:pPr>
              <w:spacing w:after="0"/>
              <w:jc w:val="center"/>
              <w:rPr>
                <w:b/>
              </w:rPr>
            </w:pPr>
            <w:r>
              <w:rPr>
                <w:b/>
              </w:rPr>
              <w:t>ALL</w:t>
            </w: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E12CF5" w:rsidRDefault="00E67666" w:rsidP="00A22E29">
            <w:pPr>
              <w:spacing w:after="0"/>
              <w:jc w:val="center"/>
              <w:rPr>
                <w:b/>
              </w:rPr>
            </w:pPr>
            <w:r>
              <w:rPr>
                <w:b/>
              </w:rPr>
              <w:t>MP</w:t>
            </w:r>
          </w:p>
          <w:p w:rsidR="00E12CF5" w:rsidRDefault="00E12CF5" w:rsidP="00A22E29">
            <w:pPr>
              <w:spacing w:after="0"/>
              <w:jc w:val="center"/>
              <w:rPr>
                <w:b/>
              </w:rPr>
            </w:pPr>
          </w:p>
          <w:p w:rsidR="00E12CF5" w:rsidRDefault="00E12CF5" w:rsidP="00A22E29">
            <w:pPr>
              <w:spacing w:after="0"/>
              <w:jc w:val="center"/>
              <w:rPr>
                <w:b/>
              </w:rPr>
            </w:pPr>
          </w:p>
          <w:p w:rsidR="00E12CF5" w:rsidRDefault="00E12CF5" w:rsidP="00A22E29">
            <w:pPr>
              <w:spacing w:after="0"/>
              <w:jc w:val="center"/>
              <w:rPr>
                <w:b/>
              </w:rPr>
            </w:pPr>
          </w:p>
          <w:p w:rsidR="004F2EC4" w:rsidRDefault="004F2EC4" w:rsidP="00A22E29">
            <w:pPr>
              <w:spacing w:after="0"/>
              <w:jc w:val="center"/>
              <w:rPr>
                <w:b/>
              </w:rPr>
            </w:pPr>
          </w:p>
          <w:p w:rsidR="004F2EC4" w:rsidRDefault="004F2EC4" w:rsidP="00A22E29">
            <w:pPr>
              <w:spacing w:after="0"/>
              <w:jc w:val="center"/>
              <w:rPr>
                <w:b/>
              </w:rPr>
            </w:pPr>
          </w:p>
          <w:p w:rsidR="004F2EC4" w:rsidRDefault="004F2EC4" w:rsidP="00A22E29">
            <w:pPr>
              <w:spacing w:after="0"/>
              <w:jc w:val="center"/>
              <w:rPr>
                <w:b/>
              </w:rPr>
            </w:pPr>
          </w:p>
          <w:p w:rsidR="00D74C13" w:rsidRDefault="00D74C13" w:rsidP="00A22E29">
            <w:pPr>
              <w:spacing w:after="0"/>
              <w:jc w:val="center"/>
              <w:rPr>
                <w:b/>
              </w:rPr>
            </w:pPr>
          </w:p>
          <w:p w:rsidR="00E12CF5" w:rsidRDefault="00E12CF5" w:rsidP="00A22E29">
            <w:pPr>
              <w:spacing w:after="0"/>
              <w:jc w:val="center"/>
              <w:rPr>
                <w:b/>
              </w:rPr>
            </w:pPr>
            <w:r>
              <w:rPr>
                <w:b/>
              </w:rPr>
              <w:t>MP</w:t>
            </w:r>
          </w:p>
          <w:p w:rsidR="00E12CF5" w:rsidRDefault="00E12CF5" w:rsidP="00400FFC">
            <w:pPr>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lastRenderedPageBreak/>
              <w:t>MANAGING DIRECTOR’S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t xml:space="preserve">The Managing Director’s report was received and noted.  MP drew particular attention to the following: </w:t>
            </w:r>
          </w:p>
          <w:p w:rsidR="00CD6193" w:rsidRDefault="00CD6193">
            <w:pPr>
              <w:spacing w:after="0"/>
            </w:pPr>
          </w:p>
          <w:p w:rsidR="00CD6193" w:rsidRDefault="00BE3445">
            <w:pPr>
              <w:spacing w:after="0"/>
              <w:rPr>
                <w:b/>
              </w:rPr>
            </w:pPr>
            <w:r>
              <w:rPr>
                <w:b/>
              </w:rPr>
              <w:t>Inward Investment Activity</w:t>
            </w:r>
          </w:p>
          <w:p w:rsidR="00CD6193" w:rsidRDefault="00576DE5">
            <w:pPr>
              <w:spacing w:after="0"/>
            </w:pPr>
            <w:r>
              <w:t>An introductory tour was to be held with Stanhope on 14 December.</w:t>
            </w:r>
          </w:p>
          <w:p w:rsidR="00576DE5" w:rsidRDefault="00576DE5">
            <w:pPr>
              <w:spacing w:after="0"/>
            </w:pPr>
          </w:p>
          <w:p w:rsidR="00CD6193" w:rsidRDefault="00BE3445">
            <w:pPr>
              <w:spacing w:after="0"/>
              <w:rPr>
                <w:b/>
              </w:rPr>
            </w:pPr>
            <w:r>
              <w:rPr>
                <w:b/>
              </w:rPr>
              <w:t>Direct investment</w:t>
            </w:r>
          </w:p>
          <w:p w:rsidR="00CD6193" w:rsidRDefault="00BE3445">
            <w:pPr>
              <w:spacing w:after="0"/>
              <w:rPr>
                <w:u w:val="single"/>
              </w:rPr>
            </w:pPr>
            <w:r>
              <w:rPr>
                <w:u w:val="single"/>
              </w:rPr>
              <w:t>Shell Store: Incubation and Development Application Centre</w:t>
            </w:r>
          </w:p>
          <w:p w:rsidR="00CD6193" w:rsidRPr="00A6518A" w:rsidRDefault="00BE3445">
            <w:pPr>
              <w:spacing w:after="0"/>
            </w:pPr>
            <w:r>
              <w:t>Procurement of the contract was underway</w:t>
            </w:r>
            <w:r w:rsidR="007B366D">
              <w:t xml:space="preserve"> and due to complete in December</w:t>
            </w:r>
            <w:r>
              <w:t>.</w:t>
            </w:r>
            <w:r w:rsidR="007B366D">
              <w:t xml:space="preserve">  Clarification and value engineering discussions with the preferred contractor would follow with a view to start on site in February.</w:t>
            </w:r>
          </w:p>
          <w:p w:rsidR="00CD6193" w:rsidRDefault="00CD6193">
            <w:pPr>
              <w:spacing w:after="0"/>
              <w:rPr>
                <w:highlight w:val="white"/>
              </w:rPr>
            </w:pPr>
          </w:p>
          <w:p w:rsidR="00CD6193" w:rsidRDefault="00BE3445">
            <w:pPr>
              <w:spacing w:after="0"/>
              <w:rPr>
                <w:u w:val="single"/>
              </w:rPr>
            </w:pPr>
            <w:r>
              <w:rPr>
                <w:u w:val="single"/>
              </w:rPr>
              <w:t xml:space="preserve">Centre for Cyber Security </w:t>
            </w:r>
          </w:p>
          <w:p w:rsidR="00CD6193" w:rsidRDefault="007B366D">
            <w:pPr>
              <w:spacing w:after="0"/>
            </w:pPr>
            <w:r>
              <w:t xml:space="preserve">Discussions were continuing around the creation of a </w:t>
            </w:r>
            <w:proofErr w:type="spellStart"/>
            <w:r>
              <w:t>jv</w:t>
            </w:r>
            <w:proofErr w:type="spellEnd"/>
            <w:r>
              <w:t xml:space="preserve"> company between the Council and University of Wolverhampton with a view to obtaining a cabinet decision on 13 December</w:t>
            </w:r>
            <w:r w:rsidR="00BE3445">
              <w:t>.</w:t>
            </w:r>
            <w:r>
              <w:t xml:space="preserve">  The contractor ha</w:t>
            </w:r>
            <w:r w:rsidR="00D16EB7">
              <w:t>d</w:t>
            </w:r>
            <w:r>
              <w:t xml:space="preserve"> been procured</w:t>
            </w:r>
            <w:r w:rsidR="00D16EB7">
              <w:t>.</w:t>
            </w:r>
            <w:r w:rsidR="00BE3445">
              <w:t xml:space="preserve"> </w:t>
            </w:r>
          </w:p>
          <w:p w:rsidR="00AA1A3B" w:rsidRDefault="00AA1A3B">
            <w:pPr>
              <w:spacing w:after="0"/>
            </w:pPr>
          </w:p>
          <w:p w:rsidR="00CD6193" w:rsidRDefault="00BE3445">
            <w:pPr>
              <w:spacing w:after="0"/>
              <w:rPr>
                <w:u w:val="single"/>
              </w:rPr>
            </w:pPr>
            <w:r>
              <w:rPr>
                <w:u w:val="single"/>
              </w:rPr>
              <w:t>Direct developments</w:t>
            </w:r>
          </w:p>
          <w:p w:rsidR="00CD6193" w:rsidRDefault="00D16EB7">
            <w:pPr>
              <w:spacing w:after="0"/>
            </w:pPr>
            <w:r>
              <w:t>Initial designs and costings had been received from</w:t>
            </w:r>
            <w:r w:rsidR="007B366D">
              <w:t xml:space="preserve"> Engie for an office development of plot S7 on the cyber campus.  </w:t>
            </w:r>
            <w:r>
              <w:t>A</w:t>
            </w:r>
            <w:r w:rsidR="007B366D">
              <w:t xml:space="preserve"> cabinet member</w:t>
            </w:r>
            <w:r>
              <w:t xml:space="preserve"> decision would be sought to commit the funding</w:t>
            </w:r>
            <w:r w:rsidR="007B366D">
              <w:t>.</w:t>
            </w:r>
            <w:r>
              <w:t xml:space="preserve">  Timings on start on site would depend on this approval, with final costings to be agreed and Engie then mobilising accordingly.</w:t>
            </w:r>
          </w:p>
          <w:p w:rsidR="00CD6193" w:rsidRDefault="00CD6193">
            <w:pPr>
              <w:spacing w:after="0"/>
            </w:pPr>
          </w:p>
          <w:p w:rsidR="00CD6193" w:rsidRDefault="00BE3445">
            <w:pPr>
              <w:spacing w:after="0"/>
              <w:rPr>
                <w:b/>
              </w:rPr>
            </w:pPr>
            <w:r>
              <w:rPr>
                <w:b/>
              </w:rPr>
              <w:t>Future land availability/readiness</w:t>
            </w:r>
          </w:p>
          <w:p w:rsidR="00CD6193" w:rsidRDefault="00BE3445">
            <w:pPr>
              <w:spacing w:after="0"/>
              <w:rPr>
                <w:u w:val="single"/>
              </w:rPr>
            </w:pPr>
            <w:r>
              <w:rPr>
                <w:u w:val="single"/>
              </w:rPr>
              <w:t>LDO</w:t>
            </w:r>
            <w:r w:rsidR="004D33FD">
              <w:rPr>
                <w:u w:val="single"/>
              </w:rPr>
              <w:t xml:space="preserve"> Renewal</w:t>
            </w:r>
          </w:p>
          <w:p w:rsidR="00CD6193" w:rsidRDefault="00BE3445">
            <w:pPr>
              <w:spacing w:after="0"/>
            </w:pPr>
            <w:r>
              <w:t xml:space="preserve">MP </w:t>
            </w:r>
            <w:r w:rsidR="004D33FD">
              <w:t xml:space="preserve">reported that activity was well under way with the preparation of a revised LDO, and that a substantial amount of work had taken place looking at the potential expansion land with implications for all the statutory consultees. </w:t>
            </w:r>
            <w:r w:rsidR="00BB1566">
              <w:t xml:space="preserve">The original plan to extend the boundary on the eastern edge of the Zone had been scaled back due as new climate change advice </w:t>
            </w:r>
            <w:r w:rsidR="00E67666">
              <w:t xml:space="preserve">on flooding risk </w:t>
            </w:r>
            <w:r w:rsidR="00BB1566">
              <w:t xml:space="preserve">could potentially delay the approval process. </w:t>
            </w:r>
            <w:r w:rsidR="004D33FD">
              <w:t xml:space="preserve"> It was likely that the new order would be agreed in March.</w:t>
            </w:r>
            <w:r w:rsidR="00BB1566">
              <w:t xml:space="preserve">  There were currently no </w:t>
            </w:r>
            <w:r w:rsidR="00E67666">
              <w:t>outstanding planning submissions awaiting consent.</w:t>
            </w:r>
          </w:p>
          <w:p w:rsidR="00CD6193" w:rsidRDefault="00CD6193">
            <w:pPr>
              <w:spacing w:after="0"/>
            </w:pPr>
          </w:p>
          <w:p w:rsidR="00E67666" w:rsidRDefault="00E67666">
            <w:pPr>
              <w:spacing w:after="0"/>
            </w:pPr>
          </w:p>
          <w:p w:rsidR="00CD6193" w:rsidRDefault="00BE3445">
            <w:pPr>
              <w:spacing w:after="0"/>
              <w:rPr>
                <w:b/>
                <w:bCs/>
              </w:rPr>
            </w:pPr>
            <w:r>
              <w:rPr>
                <w:b/>
                <w:bCs/>
              </w:rPr>
              <w:lastRenderedPageBreak/>
              <w:t>Finance and resources</w:t>
            </w:r>
          </w:p>
          <w:p w:rsidR="00BB1566" w:rsidRDefault="00BE3445">
            <w:pPr>
              <w:spacing w:after="0"/>
              <w:rPr>
                <w:u w:val="single"/>
              </w:rPr>
            </w:pPr>
            <w:r>
              <w:rPr>
                <w:u w:val="single"/>
              </w:rPr>
              <w:t>Financial resources</w:t>
            </w:r>
          </w:p>
          <w:p w:rsidR="00CD6193" w:rsidRDefault="00BB1566">
            <w:pPr>
              <w:spacing w:after="0"/>
            </w:pPr>
            <w:r>
              <w:t>M</w:t>
            </w:r>
            <w:r w:rsidR="00BE3445">
              <w:t xml:space="preserve">P had flagged up to the EZ Capital Works Programme Board that additional capital and revenue resources would be needed to deliver the full Zone potential and capability over forthcoming years.  Resources were </w:t>
            </w:r>
            <w:r w:rsidR="00622F34">
              <w:t xml:space="preserve">already </w:t>
            </w:r>
            <w:r w:rsidR="00BE3445">
              <w:t>in place until 2019/20.</w:t>
            </w:r>
          </w:p>
          <w:p w:rsidR="00CD6193" w:rsidRDefault="00CD6193">
            <w:pPr>
              <w:spacing w:after="0"/>
            </w:pPr>
          </w:p>
          <w:p w:rsidR="00CD6193" w:rsidRDefault="00BE3445">
            <w:pPr>
              <w:spacing w:after="0"/>
              <w:rPr>
                <w:u w:val="single"/>
              </w:rPr>
            </w:pPr>
            <w:r>
              <w:rPr>
                <w:u w:val="single"/>
              </w:rPr>
              <w:t>Staffing</w:t>
            </w:r>
          </w:p>
          <w:p w:rsidR="00D74C13" w:rsidRDefault="00A6518A">
            <w:pPr>
              <w:spacing w:after="0"/>
            </w:pPr>
            <w:r w:rsidRPr="00A6518A">
              <w:t xml:space="preserve">MP </w:t>
            </w:r>
            <w:r w:rsidR="00993DDB">
              <w:t>stat</w:t>
            </w:r>
            <w:r w:rsidRPr="00A6518A">
              <w:t xml:space="preserve">ed that a job description and person specification for an </w:t>
            </w:r>
            <w:r w:rsidR="00BB1566">
              <w:t xml:space="preserve">EZ Site Manager had been prepared, and would be recruited by the Council.  </w:t>
            </w:r>
            <w:r w:rsidR="00993DDB">
              <w:t>RB confirmed that the post had been a</w:t>
            </w:r>
            <w:r w:rsidR="00D74C13">
              <w:t>pprove</w:t>
            </w:r>
            <w:r w:rsidR="00993DDB">
              <w:t>d in principle</w:t>
            </w:r>
            <w:r w:rsidR="00D74C13">
              <w:t>,</w:t>
            </w:r>
            <w:r w:rsidR="00993DDB">
              <w:t xml:space="preserve"> and was now going through the HR/recruitment process.  It would be advertised in the New Year.  </w:t>
            </w:r>
          </w:p>
          <w:p w:rsidR="00D74C13" w:rsidRDefault="00D74C13">
            <w:pPr>
              <w:spacing w:after="0"/>
            </w:pPr>
          </w:p>
          <w:p w:rsidR="00CD6193" w:rsidRDefault="00BB1566">
            <w:pPr>
              <w:spacing w:after="0"/>
            </w:pPr>
            <w:r>
              <w:t>It was noted that Dan Thompson would be seconded full time to the EZ from 1 December (previously 3 days a week).</w:t>
            </w:r>
          </w:p>
          <w:p w:rsidR="00A6518A" w:rsidRDefault="00A6518A">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pPr>
          </w:p>
          <w:p w:rsidR="00CD6193" w:rsidRDefault="00CD6193">
            <w:pPr>
              <w:spacing w:after="0"/>
              <w:jc w:val="center"/>
            </w:pPr>
          </w:p>
          <w:p w:rsidR="00CD6193" w:rsidRDefault="00CD6193">
            <w:pPr>
              <w:spacing w:after="0"/>
              <w:jc w:val="center"/>
            </w:pPr>
          </w:p>
          <w:p w:rsidR="00CD6193" w:rsidRDefault="00CD6193">
            <w:pPr>
              <w:spacing w:after="0"/>
              <w:jc w:val="cente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D16EB7" w:rsidRDefault="00D16EB7">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5130D3">
            <w:pPr>
              <w:spacing w:after="0"/>
              <w:jc w:val="center"/>
              <w:rPr>
                <w:b/>
              </w:rPr>
            </w:pPr>
            <w:r>
              <w:rPr>
                <w:b/>
              </w:rPr>
              <w:t>MP/AN</w:t>
            </w: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lastRenderedPageBreak/>
              <w:t>SKYLON TOWER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993DDB">
            <w:pPr>
              <w:spacing w:after="0"/>
            </w:pPr>
            <w:r>
              <w:t xml:space="preserve">It was noted that </w:t>
            </w:r>
            <w:r w:rsidR="00BE3445">
              <w:t xml:space="preserve">NK </w:t>
            </w:r>
            <w:r>
              <w:t>would be meeting with Painter Brothers and would try to encourage their involvement in the project.</w:t>
            </w:r>
          </w:p>
          <w:p w:rsidR="00CD6193" w:rsidRDefault="00CD6193">
            <w:pPr>
              <w:spacing w:after="0"/>
            </w:pPr>
          </w:p>
          <w:p w:rsidR="00CD6193" w:rsidRDefault="00BE3445">
            <w:pPr>
              <w:spacing w:after="0"/>
            </w:pPr>
            <w:r>
              <w:t>This item to be kept on the agenda.</w:t>
            </w:r>
          </w:p>
          <w:p w:rsidR="00CD6193" w:rsidRDefault="00CD6193">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41412" w:rsidRDefault="00E41412">
            <w:pPr>
              <w:snapToGrid w:val="0"/>
              <w:spacing w:after="0"/>
              <w:jc w:val="center"/>
            </w:pPr>
          </w:p>
          <w:p w:rsidR="00E41412" w:rsidRDefault="00E41412">
            <w:pPr>
              <w:snapToGrid w:val="0"/>
              <w:spacing w:after="0"/>
              <w:jc w:val="center"/>
            </w:pPr>
          </w:p>
          <w:p w:rsidR="00E41412" w:rsidRDefault="00E41412">
            <w:pPr>
              <w:snapToGrid w:val="0"/>
              <w:spacing w:after="0"/>
              <w:jc w:val="center"/>
            </w:pPr>
          </w:p>
          <w:p w:rsidR="00E41412" w:rsidRPr="00E41412" w:rsidRDefault="00E41412" w:rsidP="00993DDB">
            <w:pPr>
              <w:snapToGrid w:val="0"/>
              <w:spacing w:after="0"/>
              <w:jc w:val="center"/>
              <w:rPr>
                <w:b/>
              </w:rPr>
            </w:pPr>
            <w:r w:rsidRPr="00E41412">
              <w:rPr>
                <w:b/>
              </w:rPr>
              <w:t>DC</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ANY OTHER BUSINESS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C87F30" w:rsidRDefault="00D74C13" w:rsidP="00576DE5">
            <w:pPr>
              <w:tabs>
                <w:tab w:val="left" w:pos="5580"/>
              </w:tabs>
              <w:spacing w:after="0"/>
              <w:rPr>
                <w:b/>
              </w:rPr>
            </w:pPr>
            <w:r w:rsidRPr="00C87F30">
              <w:rPr>
                <w:b/>
              </w:rPr>
              <w:t>Chair on leave</w:t>
            </w:r>
          </w:p>
          <w:p w:rsidR="00D74C13" w:rsidRDefault="00D74C13" w:rsidP="00D74C13">
            <w:pPr>
              <w:tabs>
                <w:tab w:val="left" w:pos="5580"/>
              </w:tabs>
              <w:spacing w:after="0"/>
            </w:pPr>
            <w:r>
              <w:t>AMC advised that he would be on away from 11 December to 6 February.</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p w:rsidR="00BF67A1" w:rsidRDefault="00BF67A1">
            <w:pPr>
              <w:spacing w:after="0"/>
              <w:jc w:val="center"/>
              <w:rPr>
                <w:b/>
              </w:rPr>
            </w:pPr>
          </w:p>
          <w:p w:rsidR="00BF67A1" w:rsidRDefault="00BF67A1">
            <w:pPr>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DATES OF FUTURE MEETINGS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D74C13">
            <w:r>
              <w:t xml:space="preserve">2.00pm on Monday </w:t>
            </w:r>
            <w:r w:rsidR="00D74C13">
              <w:t>11 February</w:t>
            </w:r>
            <w:r>
              <w:t xml:space="preserve"> at </w:t>
            </w:r>
            <w:r w:rsidR="00D74C13">
              <w:t xml:space="preserve">the </w:t>
            </w:r>
            <w:r>
              <w:t>Business Solutions Centre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bl>
    <w:p w:rsidR="00CD6193" w:rsidRDefault="00CD6193">
      <w:pPr>
        <w:spacing w:after="0"/>
        <w:rPr>
          <w:b/>
          <w:sz w:val="28"/>
          <w:szCs w:val="28"/>
        </w:rPr>
      </w:pPr>
    </w:p>
    <w:p w:rsidR="00CD6193" w:rsidRDefault="00CD6193">
      <w:pPr>
        <w:spacing w:after="0"/>
        <w:rPr>
          <w:b/>
          <w:sz w:val="28"/>
          <w:szCs w:val="28"/>
        </w:rPr>
      </w:pPr>
    </w:p>
    <w:p w:rsidR="00CD6193" w:rsidRDefault="00CD6193">
      <w:pPr>
        <w:spacing w:after="0"/>
        <w:rPr>
          <w:b/>
          <w:sz w:val="28"/>
          <w:szCs w:val="28"/>
        </w:rPr>
      </w:pPr>
    </w:p>
    <w:p w:rsidR="00CD6193" w:rsidRDefault="00CD6193">
      <w:pPr>
        <w:spacing w:after="0"/>
        <w:rPr>
          <w:b/>
          <w:sz w:val="28"/>
          <w:szCs w:val="28"/>
        </w:rPr>
      </w:pPr>
    </w:p>
    <w:p w:rsidR="00CD6193" w:rsidRDefault="00BE3445">
      <w:pPr>
        <w:spacing w:after="0"/>
        <w:rPr>
          <w:b/>
          <w:sz w:val="28"/>
          <w:szCs w:val="28"/>
        </w:rPr>
      </w:pPr>
      <w:r>
        <w:rPr>
          <w:b/>
          <w:sz w:val="28"/>
          <w:szCs w:val="28"/>
        </w:rPr>
        <w:t>Signed…………………………………………………………</w:t>
      </w:r>
    </w:p>
    <w:p w:rsidR="00CD6193" w:rsidRDefault="00CD6193">
      <w:pPr>
        <w:spacing w:after="0"/>
        <w:rPr>
          <w:b/>
          <w:sz w:val="28"/>
          <w:szCs w:val="28"/>
        </w:rPr>
      </w:pPr>
    </w:p>
    <w:p w:rsidR="00CD6193" w:rsidRDefault="00BE3445" w:rsidP="00AC6EB3">
      <w:pPr>
        <w:spacing w:after="0"/>
        <w:rPr>
          <w:b/>
          <w:sz w:val="28"/>
          <w:szCs w:val="28"/>
        </w:rPr>
      </w:pPr>
      <w:r>
        <w:rPr>
          <w:b/>
          <w:sz w:val="28"/>
          <w:szCs w:val="28"/>
        </w:rPr>
        <w:t xml:space="preserve">Date </w:t>
      </w:r>
      <w:proofErr w:type="gramStart"/>
      <w:r>
        <w:rPr>
          <w:b/>
          <w:sz w:val="28"/>
          <w:szCs w:val="28"/>
        </w:rPr>
        <w:t>……….</w:t>
      </w:r>
      <w:proofErr w:type="gramEnd"/>
      <w:r w:rsidR="00D74C13">
        <w:rPr>
          <w:b/>
          <w:sz w:val="28"/>
          <w:szCs w:val="28"/>
        </w:rPr>
        <w:t>11 February 2019</w:t>
      </w:r>
      <w:r>
        <w:rPr>
          <w:b/>
          <w:sz w:val="28"/>
          <w:szCs w:val="28"/>
        </w:rPr>
        <w:t>………………………..</w:t>
      </w:r>
      <w:bookmarkStart w:id="0" w:name="_GoBack"/>
      <w:bookmarkEnd w:id="0"/>
    </w:p>
    <w:sectPr w:rsidR="00CD6193">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57" w:rsidRDefault="00BA6E57">
      <w:pPr>
        <w:spacing w:after="0" w:line="240" w:lineRule="auto"/>
      </w:pPr>
      <w:r>
        <w:separator/>
      </w:r>
    </w:p>
  </w:endnote>
  <w:endnote w:type="continuationSeparator" w:id="0">
    <w:p w:rsidR="00BA6E57" w:rsidRDefault="00BA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D5" w:rsidRDefault="008A4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57" w:rsidRDefault="00BA6E57">
    <w:pPr>
      <w:pStyle w:val="Footer"/>
      <w:jc w:val="center"/>
    </w:pPr>
    <w:r>
      <w:fldChar w:fldCharType="begin"/>
    </w:r>
    <w:r>
      <w:instrText>PAGE</w:instrText>
    </w:r>
    <w:r>
      <w:fldChar w:fldCharType="separate"/>
    </w:r>
    <w:r w:rsidR="00AC6EB3">
      <w:rPr>
        <w:noProof/>
      </w:rPr>
      <w:t>4</w:t>
    </w:r>
    <w:r>
      <w:fldChar w:fldCharType="end"/>
    </w:r>
  </w:p>
  <w:p w:rsidR="00BA6E57" w:rsidRDefault="00BA6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57" w:rsidRDefault="00BA6E57">
    <w:pPr>
      <w:pStyle w:val="Footer"/>
      <w:jc w:val="center"/>
    </w:pPr>
    <w:r>
      <w:fldChar w:fldCharType="begin"/>
    </w:r>
    <w:r>
      <w:instrText>PAGE</w:instrText>
    </w:r>
    <w:r>
      <w:fldChar w:fldCharType="separate"/>
    </w:r>
    <w:r w:rsidR="00AC6EB3">
      <w:rPr>
        <w:noProof/>
      </w:rPr>
      <w:t>1</w:t>
    </w:r>
    <w:r>
      <w:fldChar w:fldCharType="end"/>
    </w:r>
  </w:p>
  <w:p w:rsidR="00BA6E57" w:rsidRDefault="00BA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57" w:rsidRDefault="00BA6E57">
      <w:pPr>
        <w:spacing w:after="0" w:line="240" w:lineRule="auto"/>
      </w:pPr>
      <w:r>
        <w:separator/>
      </w:r>
    </w:p>
  </w:footnote>
  <w:footnote w:type="continuationSeparator" w:id="0">
    <w:p w:rsidR="00BA6E57" w:rsidRDefault="00BA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D5" w:rsidRDefault="008A4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57" w:rsidRDefault="00BA6E57">
    <w:pPr>
      <w:pStyle w:val="Header"/>
      <w:jc w:val="right"/>
    </w:pPr>
    <w:r>
      <w:t xml:space="preserve">EZ Executive Board </w:t>
    </w:r>
    <w:r w:rsidR="00D74C13">
      <w:t>03.12</w:t>
    </w:r>
    <w:r>
      <w:t>.18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57" w:rsidRDefault="00BA6E57">
    <w:pPr>
      <w:pStyle w:val="Header"/>
      <w:tabs>
        <w:tab w:val="left" w:pos="6528"/>
      </w:tabs>
    </w:pPr>
    <w:r>
      <w:tab/>
    </w:r>
    <w:r>
      <w:tab/>
      <w:t xml:space="preserve">                                   </w:t>
    </w:r>
    <w:r>
      <w:tab/>
    </w:r>
    <w:r>
      <w:rPr>
        <w:noProof/>
        <w:lang w:eastAsia="en-GB"/>
      </w:rPr>
      <w:drawing>
        <wp:inline distT="0" distB="0" distL="0" distR="0">
          <wp:extent cx="1104900" cy="5715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2" t="-63" r="-32" b="-63"/>
                  <a:stretch>
                    <a:fillRect/>
                  </a:stretch>
                </pic:blipFill>
                <pic:spPr bwMode="auto">
                  <a:xfrm>
                    <a:off x="0" y="0"/>
                    <a:ext cx="1104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7D"/>
    <w:multiLevelType w:val="hybridMultilevel"/>
    <w:tmpl w:val="D1146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22FE"/>
    <w:multiLevelType w:val="hybridMultilevel"/>
    <w:tmpl w:val="17EE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E2378"/>
    <w:multiLevelType w:val="hybridMultilevel"/>
    <w:tmpl w:val="2682D0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17471"/>
    <w:multiLevelType w:val="multilevel"/>
    <w:tmpl w:val="AD32D30C"/>
    <w:lvl w:ilvl="0">
      <w:start w:val="1"/>
      <w:numFmt w:val="lowerLetter"/>
      <w:lvlText w:val="%1)"/>
      <w:lvlJc w:val="left"/>
      <w:pPr>
        <w:ind w:left="502"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700C71"/>
    <w:multiLevelType w:val="hybridMultilevel"/>
    <w:tmpl w:val="6AFCE0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82ACB"/>
    <w:multiLevelType w:val="multilevel"/>
    <w:tmpl w:val="C526C276"/>
    <w:lvl w:ilvl="0">
      <w:start w:val="3"/>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794F1B"/>
    <w:multiLevelType w:val="multilevel"/>
    <w:tmpl w:val="0C80E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66E1CF9"/>
    <w:multiLevelType w:val="hybridMultilevel"/>
    <w:tmpl w:val="57AE20BA"/>
    <w:lvl w:ilvl="0" w:tplc="077C79D4">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7040E4D"/>
    <w:multiLevelType w:val="hybridMultilevel"/>
    <w:tmpl w:val="A99A278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A4415"/>
    <w:multiLevelType w:val="hybridMultilevel"/>
    <w:tmpl w:val="5CD867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B75C8"/>
    <w:multiLevelType w:val="hybridMultilevel"/>
    <w:tmpl w:val="05C600EC"/>
    <w:lvl w:ilvl="0" w:tplc="CE426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3A60DA"/>
    <w:multiLevelType w:val="multilevel"/>
    <w:tmpl w:val="CF9E89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7462E1"/>
    <w:multiLevelType w:val="multilevel"/>
    <w:tmpl w:val="618CCE0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1"/>
  </w:num>
  <w:num w:numId="4">
    <w:abstractNumId w:val="12"/>
  </w:num>
  <w:num w:numId="5">
    <w:abstractNumId w:val="6"/>
  </w:num>
  <w:num w:numId="6">
    <w:abstractNumId w:val="9"/>
  </w:num>
  <w:num w:numId="7">
    <w:abstractNumId w:val="10"/>
  </w:num>
  <w:num w:numId="8">
    <w:abstractNumId w:val="8"/>
  </w:num>
  <w:num w:numId="9">
    <w:abstractNumId w:val="0"/>
  </w:num>
  <w:num w:numId="10">
    <w:abstractNumId w:val="4"/>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93"/>
    <w:rsid w:val="000308C6"/>
    <w:rsid w:val="00050A35"/>
    <w:rsid w:val="000D5539"/>
    <w:rsid w:val="000F6013"/>
    <w:rsid w:val="00107512"/>
    <w:rsid w:val="001321BC"/>
    <w:rsid w:val="001B6EA2"/>
    <w:rsid w:val="002D4082"/>
    <w:rsid w:val="002D679A"/>
    <w:rsid w:val="003213F6"/>
    <w:rsid w:val="00327960"/>
    <w:rsid w:val="0035492D"/>
    <w:rsid w:val="003765E4"/>
    <w:rsid w:val="003963C7"/>
    <w:rsid w:val="003E2BD3"/>
    <w:rsid w:val="003E3281"/>
    <w:rsid w:val="003F18EC"/>
    <w:rsid w:val="00400FFC"/>
    <w:rsid w:val="00434761"/>
    <w:rsid w:val="004D33FD"/>
    <w:rsid w:val="004D4719"/>
    <w:rsid w:val="004F2EC4"/>
    <w:rsid w:val="005130D3"/>
    <w:rsid w:val="0057632C"/>
    <w:rsid w:val="00576DE5"/>
    <w:rsid w:val="00583675"/>
    <w:rsid w:val="005C6906"/>
    <w:rsid w:val="005D5948"/>
    <w:rsid w:val="005F6169"/>
    <w:rsid w:val="00622F34"/>
    <w:rsid w:val="006715B0"/>
    <w:rsid w:val="00684273"/>
    <w:rsid w:val="006C7D29"/>
    <w:rsid w:val="006F2E6D"/>
    <w:rsid w:val="00717B0A"/>
    <w:rsid w:val="00726020"/>
    <w:rsid w:val="00744CB1"/>
    <w:rsid w:val="007B366D"/>
    <w:rsid w:val="007E6DE9"/>
    <w:rsid w:val="007F3892"/>
    <w:rsid w:val="00831FCC"/>
    <w:rsid w:val="00842BF6"/>
    <w:rsid w:val="008A4AD5"/>
    <w:rsid w:val="008B6415"/>
    <w:rsid w:val="008F23BC"/>
    <w:rsid w:val="00902B19"/>
    <w:rsid w:val="00913F20"/>
    <w:rsid w:val="00961538"/>
    <w:rsid w:val="00993DDB"/>
    <w:rsid w:val="00A22E29"/>
    <w:rsid w:val="00A5689A"/>
    <w:rsid w:val="00A6518A"/>
    <w:rsid w:val="00A92BCA"/>
    <w:rsid w:val="00AA1A3B"/>
    <w:rsid w:val="00AC6EB3"/>
    <w:rsid w:val="00B04D6D"/>
    <w:rsid w:val="00B562AD"/>
    <w:rsid w:val="00B62BBB"/>
    <w:rsid w:val="00B85882"/>
    <w:rsid w:val="00BA6E57"/>
    <w:rsid w:val="00BB1566"/>
    <w:rsid w:val="00BE0DAE"/>
    <w:rsid w:val="00BE29CA"/>
    <w:rsid w:val="00BE3445"/>
    <w:rsid w:val="00BF67A1"/>
    <w:rsid w:val="00C53752"/>
    <w:rsid w:val="00C87F30"/>
    <w:rsid w:val="00CA34CE"/>
    <w:rsid w:val="00CC56E0"/>
    <w:rsid w:val="00CD6193"/>
    <w:rsid w:val="00D04FA9"/>
    <w:rsid w:val="00D16EB7"/>
    <w:rsid w:val="00D74C13"/>
    <w:rsid w:val="00DA134A"/>
    <w:rsid w:val="00E02393"/>
    <w:rsid w:val="00E12CF5"/>
    <w:rsid w:val="00E20DBB"/>
    <w:rsid w:val="00E41412"/>
    <w:rsid w:val="00E67666"/>
    <w:rsid w:val="00E9365C"/>
    <w:rsid w:val="00F32EBD"/>
    <w:rsid w:val="00FA7DD4"/>
    <w:rsid w:val="00FB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00EBCE-3972-46FB-8D01-FC49889C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ext">
    <w:name w:val="Text"/>
    <w:basedOn w:val="Normal"/>
    <w:qFormat/>
    <w:pPr>
      <w:spacing w:after="240" w:line="240" w:lineRule="auto"/>
      <w:jc w:val="both"/>
    </w:pPr>
    <w:rPr>
      <w:rFonts w:ascii="Arial" w:eastAsia="Times New Roman" w:hAnsi="Arial" w:cs="Arial"/>
      <w:szCs w:val="20"/>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Dorothy</dc:creator>
  <cp:lastModifiedBy>Coleman, Dorothy (Skylon Park)</cp:lastModifiedBy>
  <cp:revision>3</cp:revision>
  <cp:lastPrinted>2019-02-11T08:49:00Z</cp:lastPrinted>
  <dcterms:created xsi:type="dcterms:W3CDTF">2019-02-25T14:33:00Z</dcterms:created>
  <dcterms:modified xsi:type="dcterms:W3CDTF">2019-02-25T14:33:00Z</dcterms:modified>
  <dc:language>en-GB</dc:language>
</cp:coreProperties>
</file>